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Times New Roman"/>
          <w:b/>
          <w:w w:val="105"/>
          <w:sz w:val="30"/>
          <w:szCs w:val="30"/>
        </w:rPr>
      </w:pPr>
      <w:bookmarkStart w:id="9" w:name="_GoBack"/>
      <w:bookmarkEnd w:id="9"/>
      <w:r>
        <w:rPr>
          <w:rFonts w:ascii="Times New Roman" w:hAnsi="Times New Roman" w:cs="Times New Roman"/>
          <w:b/>
          <w:w w:val="105"/>
          <w:sz w:val="30"/>
          <w:szCs w:val="30"/>
        </w:rPr>
        <w:t>Virologica Sinica</w:t>
      </w:r>
    </w:p>
    <w:p>
      <w:pPr>
        <w:jc w:val="left"/>
        <w:rPr>
          <w:rFonts w:ascii="Times New Roman" w:hAnsi="Times New Roman" w:cs="Times New Roman"/>
          <w:b/>
          <w:bCs/>
          <w:color w:val="0078C1"/>
          <w:w w:val="105"/>
          <w:sz w:val="24"/>
          <w:szCs w:val="24"/>
        </w:rPr>
      </w:pPr>
    </w:p>
    <w:p>
      <w:pPr>
        <w:adjustRightInd w:val="0"/>
        <w:snapToGrid w:val="0"/>
        <w:jc w:val="left"/>
        <w:rPr>
          <w:rFonts w:ascii="Times New Roman" w:hAnsi="Times New Roman" w:cs="Times New Roman"/>
          <w:b/>
          <w:bCs/>
          <w:w w:val="105"/>
          <w:sz w:val="30"/>
          <w:szCs w:val="30"/>
        </w:rPr>
      </w:pPr>
      <w:r>
        <w:rPr>
          <w:rFonts w:ascii="Times New Roman" w:hAnsi="Times New Roman" w:cs="Times New Roman"/>
          <w:b/>
          <w:bCs/>
          <w:w w:val="105"/>
          <w:sz w:val="30"/>
          <w:szCs w:val="30"/>
        </w:rPr>
        <w:t>Supplementary Data</w:t>
      </w:r>
    </w:p>
    <w:p>
      <w:pPr>
        <w:pStyle w:val="14"/>
        <w:spacing w:line="360" w:lineRule="auto"/>
        <w:rPr>
          <w:rFonts w:ascii="Times New Roman" w:hAnsi="Times New Roman"/>
          <w:b/>
          <w:bCs/>
          <w:sz w:val="24"/>
          <w:szCs w:val="24"/>
        </w:rPr>
      </w:pPr>
    </w:p>
    <w:p>
      <w:pPr>
        <w:adjustRightInd w:val="0"/>
        <w:snapToGrid w:val="0"/>
        <w:spacing w:line="360" w:lineRule="auto"/>
        <w:rPr>
          <w:rFonts w:ascii="Times New Roman" w:hAnsi="Times New Roman" w:cs="Times New Roman"/>
          <w:b/>
          <w:bCs/>
          <w:sz w:val="28"/>
        </w:rPr>
      </w:pPr>
      <w:r>
        <w:rPr>
          <w:rFonts w:ascii="Times New Roman" w:hAnsi="Times New Roman" w:cs="Times New Roman"/>
          <w:b/>
          <w:bCs/>
          <w:sz w:val="28"/>
        </w:rPr>
        <w:t>Mutual antagonism of mouse-adaptation mutations in HA and PA proteins on H9N2 virus replication</w:t>
      </w:r>
    </w:p>
    <w:p>
      <w:pPr>
        <w:adjustRightInd w:val="0"/>
        <w:snapToGrid w:val="0"/>
        <w:spacing w:line="360" w:lineRule="auto"/>
        <w:rPr>
          <w:rFonts w:ascii="Times New Roman" w:hAnsi="Times New Roman" w:eastAsia="宋体" w:cs="Times New Roman"/>
          <w:kern w:val="0"/>
          <w:sz w:val="22"/>
        </w:rPr>
      </w:pPr>
    </w:p>
    <w:p>
      <w:pPr>
        <w:adjustRightInd w:val="0"/>
        <w:snapToGrid w:val="0"/>
        <w:spacing w:line="360" w:lineRule="auto"/>
        <w:rPr>
          <w:rFonts w:ascii="Times New Roman" w:hAnsi="Times New Roman" w:cs="Times New Roman"/>
          <w:sz w:val="22"/>
        </w:rPr>
      </w:pPr>
      <w:r>
        <w:rPr>
          <w:rFonts w:ascii="Times New Roman" w:hAnsi="Times New Roman" w:eastAsia="宋体" w:cs="Times New Roman"/>
          <w:kern w:val="0"/>
          <w:sz w:val="22"/>
        </w:rPr>
        <w:t xml:space="preserve">Liping Ma </w:t>
      </w:r>
      <w:r>
        <w:rPr>
          <w:rFonts w:ascii="Times New Roman" w:hAnsi="Times New Roman" w:eastAsia="宋体" w:cs="Times New Roman"/>
          <w:kern w:val="0"/>
          <w:sz w:val="22"/>
          <w:vertAlign w:val="superscript"/>
        </w:rPr>
        <w:t>a,b,d</w:t>
      </w:r>
      <w:r>
        <w:rPr>
          <w:rFonts w:ascii="Times New Roman" w:hAnsi="Times New Roman" w:eastAsia="宋体" w:cs="Times New Roman"/>
          <w:kern w:val="0"/>
          <w:sz w:val="22"/>
        </w:rPr>
        <w:t xml:space="preserve">, Huabin Zheng </w:t>
      </w:r>
      <w:r>
        <w:rPr>
          <w:rFonts w:ascii="Times New Roman" w:hAnsi="Times New Roman" w:eastAsia="宋体" w:cs="Times New Roman"/>
          <w:kern w:val="0"/>
          <w:sz w:val="22"/>
          <w:vertAlign w:val="superscript"/>
        </w:rPr>
        <w:t>a,b,d</w:t>
      </w:r>
      <w:r>
        <w:rPr>
          <w:rFonts w:ascii="Times New Roman" w:hAnsi="Times New Roman" w:eastAsia="宋体" w:cs="Times New Roman"/>
          <w:kern w:val="0"/>
          <w:sz w:val="22"/>
        </w:rPr>
        <w:t xml:space="preserve">, Xianliang Ke </w:t>
      </w:r>
      <w:r>
        <w:rPr>
          <w:rFonts w:ascii="Times New Roman" w:hAnsi="Times New Roman" w:eastAsia="宋体" w:cs="Times New Roman"/>
          <w:kern w:val="0"/>
          <w:sz w:val="22"/>
          <w:vertAlign w:val="superscript"/>
        </w:rPr>
        <w:t>a,b</w:t>
      </w:r>
      <w:r>
        <w:rPr>
          <w:rFonts w:ascii="Times New Roman" w:hAnsi="Times New Roman" w:eastAsia="宋体" w:cs="Times New Roman"/>
          <w:kern w:val="0"/>
          <w:sz w:val="22"/>
        </w:rPr>
        <w:t xml:space="preserve">, Rui Gui </w:t>
      </w:r>
      <w:r>
        <w:rPr>
          <w:rFonts w:ascii="Times New Roman" w:hAnsi="Times New Roman" w:eastAsia="宋体" w:cs="Times New Roman"/>
          <w:kern w:val="0"/>
          <w:sz w:val="22"/>
          <w:vertAlign w:val="superscript"/>
        </w:rPr>
        <w:t>a,b,d</w:t>
      </w:r>
      <w:r>
        <w:rPr>
          <w:rFonts w:ascii="Times New Roman" w:hAnsi="Times New Roman" w:eastAsia="宋体" w:cs="Times New Roman"/>
          <w:kern w:val="0"/>
          <w:sz w:val="22"/>
        </w:rPr>
        <w:t xml:space="preserve">, Zhongzi Yao </w:t>
      </w:r>
      <w:r>
        <w:rPr>
          <w:rFonts w:ascii="Times New Roman" w:hAnsi="Times New Roman" w:eastAsia="宋体" w:cs="Times New Roman"/>
          <w:kern w:val="0"/>
          <w:sz w:val="22"/>
          <w:vertAlign w:val="superscript"/>
        </w:rPr>
        <w:t>a,b,d</w:t>
      </w:r>
      <w:r>
        <w:rPr>
          <w:rFonts w:ascii="Times New Roman" w:hAnsi="Times New Roman" w:eastAsia="宋体" w:cs="Times New Roman"/>
          <w:kern w:val="0"/>
          <w:sz w:val="22"/>
        </w:rPr>
        <w:t xml:space="preserve">, Jiasong Xiong </w:t>
      </w:r>
      <w:r>
        <w:rPr>
          <w:rFonts w:ascii="Times New Roman" w:hAnsi="Times New Roman" w:eastAsia="宋体" w:cs="Times New Roman"/>
          <w:kern w:val="0"/>
          <w:sz w:val="22"/>
          <w:vertAlign w:val="superscript"/>
        </w:rPr>
        <w:t>a,b,d</w:t>
      </w:r>
      <w:r>
        <w:rPr>
          <w:rFonts w:ascii="Times New Roman" w:hAnsi="Times New Roman" w:eastAsia="宋体" w:cs="Times New Roman"/>
          <w:kern w:val="0"/>
          <w:sz w:val="22"/>
        </w:rPr>
        <w:t>, Quanjiao Chen</w:t>
      </w:r>
      <w:r>
        <w:rPr>
          <w:rFonts w:ascii="Times New Roman" w:hAnsi="Times New Roman" w:cs="Times New Roman"/>
          <w:sz w:val="22"/>
          <w:vertAlign w:val="superscript"/>
        </w:rPr>
        <w:t xml:space="preserve"> a,b,c,*</w:t>
      </w:r>
    </w:p>
    <w:p>
      <w:pPr>
        <w:adjustRightInd w:val="0"/>
        <w:snapToGrid w:val="0"/>
        <w:spacing w:line="360" w:lineRule="auto"/>
        <w:rPr>
          <w:rFonts w:ascii="Times New Roman" w:hAnsi="Times New Roman" w:eastAsia="宋体" w:cs="Times New Roman"/>
          <w:kern w:val="0"/>
          <w:sz w:val="22"/>
        </w:rPr>
      </w:pPr>
    </w:p>
    <w:p>
      <w:pPr>
        <w:adjustRightInd w:val="0"/>
        <w:snapToGrid w:val="0"/>
        <w:spacing w:line="360" w:lineRule="auto"/>
        <w:rPr>
          <w:rFonts w:ascii="Times New Roman" w:hAnsi="Times New Roman" w:eastAsia="宋体" w:cs="Times New Roman"/>
          <w:kern w:val="0"/>
          <w:sz w:val="22"/>
        </w:rPr>
      </w:pPr>
    </w:p>
    <w:p>
      <w:pPr>
        <w:autoSpaceDE w:val="0"/>
        <w:autoSpaceDN w:val="0"/>
        <w:adjustRightInd w:val="0"/>
        <w:snapToGrid w:val="0"/>
        <w:spacing w:line="360" w:lineRule="auto"/>
        <w:rPr>
          <w:rFonts w:ascii="Times New Roman" w:hAnsi="Times New Roman" w:cs="Times New Roman"/>
          <w:kern w:val="0"/>
          <w:sz w:val="22"/>
        </w:rPr>
      </w:pPr>
      <w:r>
        <w:rPr>
          <w:rFonts w:ascii="Times New Roman" w:hAnsi="Times New Roman" w:eastAsia="TimesNewRoman" w:cs="Times New Roman"/>
          <w:kern w:val="0"/>
          <w:sz w:val="22"/>
          <w:vertAlign w:val="superscript"/>
        </w:rPr>
        <w:t xml:space="preserve">a </w:t>
      </w:r>
      <w:r>
        <w:rPr>
          <w:rFonts w:ascii="Times New Roman" w:hAnsi="Times New Roman" w:eastAsia="TimesNewRoman" w:cs="Times New Roman"/>
          <w:kern w:val="0"/>
          <w:sz w:val="22"/>
        </w:rPr>
        <w:t>CAS Key Laboratory of Special Pathogens and Biosafety, Wuhan Institute of Virology, Chinese Academy of Sciences, Wuhan, 430207, China</w:t>
      </w:r>
    </w:p>
    <w:p>
      <w:pPr>
        <w:autoSpaceDE w:val="0"/>
        <w:autoSpaceDN w:val="0"/>
        <w:adjustRightInd w:val="0"/>
        <w:snapToGrid w:val="0"/>
        <w:spacing w:line="360" w:lineRule="auto"/>
        <w:rPr>
          <w:rFonts w:ascii="Times New Roman" w:hAnsi="Times New Roman" w:eastAsia="TimesNewRoman" w:cs="Times New Roman"/>
          <w:kern w:val="0"/>
          <w:sz w:val="22"/>
        </w:rPr>
      </w:pPr>
      <w:r>
        <w:rPr>
          <w:rFonts w:ascii="Times New Roman" w:hAnsi="Times New Roman" w:eastAsia="TimesNewRoman" w:cs="Times New Roman"/>
          <w:kern w:val="0"/>
          <w:sz w:val="22"/>
          <w:vertAlign w:val="superscript"/>
        </w:rPr>
        <w:t xml:space="preserve">b </w:t>
      </w:r>
      <w:r>
        <w:rPr>
          <w:rFonts w:ascii="Times New Roman" w:hAnsi="Times New Roman" w:eastAsia="TimesNewRoman" w:cs="Times New Roman"/>
          <w:kern w:val="0"/>
          <w:sz w:val="22"/>
        </w:rPr>
        <w:t>Center for Biosafety Mega-Science, Wuhan Institute of Virology, Chinese Academy of Sciences, Wuhan, 430207, China</w:t>
      </w:r>
    </w:p>
    <w:p>
      <w:pPr>
        <w:adjustRightInd w:val="0"/>
        <w:snapToGrid w:val="0"/>
        <w:spacing w:line="360" w:lineRule="auto"/>
        <w:rPr>
          <w:rFonts w:ascii="Times New Roman" w:hAnsi="Times New Roman" w:cs="Times New Roman"/>
          <w:b/>
          <w:bCs/>
          <w:sz w:val="22"/>
        </w:rPr>
      </w:pPr>
      <w:r>
        <w:rPr>
          <w:rFonts w:ascii="Times New Roman" w:hAnsi="Times New Roman" w:eastAsia="TimesNewRoman" w:cs="Times New Roman"/>
          <w:kern w:val="0"/>
          <w:sz w:val="22"/>
          <w:vertAlign w:val="superscript"/>
        </w:rPr>
        <w:t xml:space="preserve">c </w:t>
      </w:r>
      <w:r>
        <w:rPr>
          <w:rFonts w:ascii="Times New Roman" w:hAnsi="Times New Roman" w:eastAsia="TimesNewRoman" w:cs="Times New Roman"/>
          <w:kern w:val="0"/>
          <w:sz w:val="22"/>
        </w:rPr>
        <w:t>Hubei Jiangxia Laboratory, Wuhan, 430207, China</w:t>
      </w:r>
    </w:p>
    <w:p>
      <w:pPr>
        <w:adjustRightInd w:val="0"/>
        <w:snapToGrid w:val="0"/>
        <w:spacing w:line="360" w:lineRule="auto"/>
        <w:rPr>
          <w:rFonts w:ascii="Times New Roman" w:hAnsi="Times New Roman" w:eastAsia="TimesNewRoman" w:cs="Times New Roman"/>
          <w:kern w:val="0"/>
          <w:sz w:val="22"/>
        </w:rPr>
      </w:pPr>
      <w:r>
        <w:rPr>
          <w:rFonts w:ascii="Times New Roman" w:hAnsi="Times New Roman" w:eastAsia="TimesNewRoman" w:cs="Times New Roman"/>
          <w:kern w:val="0"/>
          <w:sz w:val="22"/>
          <w:vertAlign w:val="superscript"/>
        </w:rPr>
        <w:t xml:space="preserve">d </w:t>
      </w:r>
      <w:r>
        <w:rPr>
          <w:rFonts w:ascii="Times New Roman" w:hAnsi="Times New Roman" w:eastAsia="TimesNewRoman" w:cs="Times New Roman"/>
          <w:kern w:val="0"/>
          <w:sz w:val="22"/>
        </w:rPr>
        <w:t>University of Chinese Academy of Sciences, Beijing, 100049, China</w:t>
      </w:r>
    </w:p>
    <w:p>
      <w:pPr>
        <w:adjustRightInd w:val="0"/>
        <w:snapToGrid w:val="0"/>
        <w:spacing w:line="360" w:lineRule="auto"/>
        <w:rPr>
          <w:rFonts w:ascii="Times New Roman" w:hAnsi="Times New Roman" w:cs="Times New Roman"/>
          <w:b/>
          <w:bCs/>
          <w:sz w:val="22"/>
        </w:rPr>
      </w:pPr>
    </w:p>
    <w:p>
      <w:pPr>
        <w:adjustRightInd w:val="0"/>
        <w:snapToGrid w:val="0"/>
        <w:spacing w:line="360" w:lineRule="auto"/>
        <w:rPr>
          <w:rFonts w:ascii="Times New Roman" w:hAnsi="Times New Roman" w:cs="Times New Roman"/>
          <w:b/>
          <w:bCs/>
          <w:sz w:val="22"/>
        </w:rPr>
      </w:pPr>
    </w:p>
    <w:p>
      <w:pPr>
        <w:autoSpaceDE w:val="0"/>
        <w:autoSpaceDN w:val="0"/>
        <w:adjustRightInd w:val="0"/>
        <w:snapToGrid w:val="0"/>
        <w:spacing w:line="360" w:lineRule="auto"/>
        <w:rPr>
          <w:rFonts w:ascii="Times New Roman" w:hAnsi="Times New Roman" w:cs="Times New Roman"/>
          <w:sz w:val="22"/>
        </w:rPr>
      </w:pPr>
      <w:r>
        <w:rPr>
          <w:rFonts w:ascii="Times New Roman" w:hAnsi="Times New Roman" w:cs="Times New Roman"/>
          <w:sz w:val="22"/>
        </w:rPr>
        <w:t>*Corresponding author</w:t>
      </w:r>
    </w:p>
    <w:p>
      <w:pPr>
        <w:autoSpaceDE w:val="0"/>
        <w:autoSpaceDN w:val="0"/>
        <w:adjustRightInd w:val="0"/>
        <w:snapToGrid w:val="0"/>
        <w:spacing w:line="360" w:lineRule="auto"/>
        <w:rPr>
          <w:rFonts w:ascii="Times New Roman" w:hAnsi="Times New Roman" w:cs="Times New Roman"/>
          <w:sz w:val="22"/>
        </w:rPr>
      </w:pPr>
      <w:r>
        <w:rPr>
          <w:rFonts w:ascii="Times New Roman" w:hAnsi="Times New Roman" w:cs="Times New Roman"/>
          <w:sz w:val="22"/>
        </w:rPr>
        <w:t>E-mail: chenqj@wh.iov.cn (Q. Chen).</w:t>
      </w:r>
    </w:p>
    <w:p>
      <w:pPr>
        <w:autoSpaceDE w:val="0"/>
        <w:autoSpaceDN w:val="0"/>
        <w:adjustRightInd w:val="0"/>
        <w:snapToGrid w:val="0"/>
        <w:spacing w:line="360" w:lineRule="auto"/>
        <w:rPr>
          <w:rFonts w:ascii="Times New Roman" w:hAnsi="Times New Roman" w:cs="Times New Roman"/>
          <w:sz w:val="22"/>
        </w:rPr>
      </w:pPr>
      <w:r>
        <w:rPr>
          <w:rFonts w:ascii="Times New Roman" w:hAnsi="Times New Roman" w:cs="Times New Roman"/>
          <w:sz w:val="22"/>
        </w:rPr>
        <w:t>ORCID: 0000-0001-8716-6510</w:t>
      </w:r>
    </w:p>
    <w:p>
      <w:pPr>
        <w:pStyle w:val="14"/>
        <w:spacing w:line="360" w:lineRule="auto"/>
        <w:rPr>
          <w:rFonts w:ascii="Times New Roman" w:hAnsi="Times New Roman"/>
          <w:b/>
          <w:bCs/>
          <w:sz w:val="24"/>
          <w:szCs w:val="24"/>
        </w:rPr>
      </w:pPr>
    </w:p>
    <w:p>
      <w:pPr>
        <w:pStyle w:val="14"/>
        <w:spacing w:line="360" w:lineRule="auto"/>
        <w:rPr>
          <w:rFonts w:ascii="Times New Roman" w:hAnsi="Times New Roman"/>
          <w:b/>
          <w:bCs/>
          <w:sz w:val="24"/>
          <w:szCs w:val="24"/>
        </w:rPr>
        <w:sectPr>
          <w:headerReference r:id="rId5" w:type="default"/>
          <w:footerReference r:id="rId6" w:type="default"/>
          <w:type w:val="continuous"/>
          <w:pgSz w:w="11906" w:h="16838"/>
          <w:pgMar w:top="1440" w:right="1080" w:bottom="1440" w:left="1080" w:header="851" w:footer="992" w:gutter="0"/>
          <w:cols w:space="425" w:num="1"/>
          <w:docGrid w:type="lines" w:linePitch="312" w:charSpace="0"/>
        </w:sectPr>
      </w:pPr>
    </w:p>
    <w:p>
      <w:pPr>
        <w:pStyle w:val="14"/>
        <w:spacing w:line="360" w:lineRule="auto"/>
        <w:rPr>
          <w:rFonts w:ascii="Times New Roman" w:hAnsi="Times New Roman"/>
          <w:b/>
          <w:bCs/>
          <w:sz w:val="24"/>
          <w:szCs w:val="24"/>
        </w:rPr>
        <w:sectPr>
          <w:type w:val="continuous"/>
          <w:pgSz w:w="11906" w:h="16838"/>
          <w:pgMar w:top="1440" w:right="1080" w:bottom="1440" w:left="1080" w:header="851" w:footer="992" w:gutter="0"/>
          <w:cols w:space="425" w:num="1"/>
          <w:docGrid w:type="lines" w:linePitch="312" w:charSpace="0"/>
        </w:sectPr>
      </w:pPr>
    </w:p>
    <w:p>
      <w:pPr>
        <w:pStyle w:val="14"/>
        <w:spacing w:line="360" w:lineRule="auto"/>
        <w:rPr>
          <w:rFonts w:ascii="Times New Roman" w:hAnsi="Times New Roman"/>
          <w:b/>
          <w:bCs/>
          <w:sz w:val="24"/>
          <w:szCs w:val="24"/>
        </w:rPr>
      </w:pPr>
    </w:p>
    <w:p>
      <w:pPr>
        <w:rPr>
          <w:rFonts w:ascii="Times New Roman" w:hAnsi="Times New Roman" w:cs="Times New Roman"/>
          <w:sz w:val="22"/>
        </w:rPr>
      </w:pPr>
      <w:r>
        <w:rPr>
          <w:rFonts w:ascii="Times New Roman" w:hAnsi="Times New Roman" w:cs="Times New Roman"/>
          <w:b/>
          <w:bCs/>
          <w:sz w:val="22"/>
        </w:rPr>
        <w:t xml:space="preserve">Fig. S1 </w:t>
      </w:r>
      <w:r>
        <w:rPr>
          <w:rFonts w:ascii="Times New Roman" w:hAnsi="Times New Roman" w:cs="Times New Roman"/>
          <w:bCs/>
          <w:sz w:val="22"/>
        </w:rPr>
        <w:t xml:space="preserve">Distribution of the six mutations of HA and PA proteins in clinically isolated H9N2 strains. </w:t>
      </w:r>
      <w:r>
        <w:rPr>
          <w:rFonts w:ascii="Times New Roman" w:hAnsi="Times New Roman" w:cs="Times New Roman"/>
          <w:sz w:val="22"/>
        </w:rPr>
        <w:t>(</w:t>
      </w:r>
      <w:r>
        <w:rPr>
          <w:rFonts w:ascii="Times New Roman" w:hAnsi="Times New Roman" w:cs="Times New Roman"/>
          <w:b/>
          <w:sz w:val="22"/>
        </w:rPr>
        <w:t>A, B</w:t>
      </w:r>
      <w:r>
        <w:rPr>
          <w:rFonts w:ascii="Times New Roman" w:hAnsi="Times New Roman" w:cs="Times New Roman"/>
          <w:sz w:val="22"/>
        </w:rPr>
        <w:t>) The proportion of mutation sites of HA (</w:t>
      </w:r>
      <w:r>
        <w:rPr>
          <w:rFonts w:ascii="Times New Roman" w:hAnsi="Times New Roman" w:cs="Times New Roman"/>
          <w:b/>
          <w:sz w:val="22"/>
        </w:rPr>
        <w:t>A</w:t>
      </w:r>
      <w:r>
        <w:rPr>
          <w:rFonts w:ascii="Times New Roman" w:hAnsi="Times New Roman" w:cs="Times New Roman"/>
          <w:sz w:val="22"/>
        </w:rPr>
        <w:t>) and PA (</w:t>
      </w:r>
      <w:r>
        <w:rPr>
          <w:rFonts w:ascii="Times New Roman" w:hAnsi="Times New Roman" w:cs="Times New Roman"/>
          <w:b/>
          <w:sz w:val="22"/>
        </w:rPr>
        <w:t>B</w:t>
      </w:r>
      <w:r>
        <w:rPr>
          <w:rFonts w:ascii="Times New Roman" w:hAnsi="Times New Roman" w:cs="Times New Roman"/>
          <w:sz w:val="22"/>
        </w:rPr>
        <w:t xml:space="preserve">) proteins in mammalian- and avian-derived strains. A total of 26 HA and 26 PA amino acid sequences of mammalian H9N2 strains as well as 849 HA and 849 PA amino acid sequences of avian H9N2 isolates, were downloaded from the GISAID database. </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b/>
          <w:bCs/>
          <w:sz w:val="22"/>
        </w:rPr>
        <w:t xml:space="preserve">Fig. S2 </w:t>
      </w:r>
      <w:r>
        <w:rPr>
          <w:rFonts w:ascii="Times New Roman" w:hAnsi="Times New Roman" w:cs="Times New Roman"/>
          <w:bCs/>
          <w:sz w:val="22"/>
        </w:rPr>
        <w:t xml:space="preserve">Lung histopathology of mice infected with rP0-P3HA, rP0-P5PA, rP0-HA-L226Q, rP0-HA-T511I, and rP0-HA-A528V viruses at 3 d.p.i. </w:t>
      </w:r>
      <w:r>
        <w:rPr>
          <w:rFonts w:ascii="Times New Roman" w:hAnsi="Times New Roman" w:cs="Times New Roman"/>
          <w:sz w:val="22"/>
        </w:rPr>
        <w:t>The images were gained at the ×10 magnification and the bars of the enlarged images represented 100 μm.</w:t>
      </w:r>
    </w:p>
    <w:p>
      <w:pPr>
        <w:rPr>
          <w:rFonts w:ascii="Times New Roman" w:hAnsi="Times New Roman" w:cs="Times New Roman"/>
          <w:sz w:val="22"/>
        </w:rPr>
      </w:pPr>
    </w:p>
    <w:p>
      <w:pPr>
        <w:rPr>
          <w:rFonts w:ascii="Times New Roman" w:hAnsi="Times New Roman" w:cs="Times New Roman"/>
          <w:sz w:val="22"/>
        </w:rPr>
      </w:pPr>
      <w:r>
        <w:rPr>
          <w:rFonts w:hint="eastAsia" w:ascii="Times New Roman" w:hAnsi="Times New Roman" w:cs="Times New Roman"/>
          <w:b/>
          <w:bCs/>
          <w:sz w:val="22"/>
        </w:rPr>
        <w:t>F</w:t>
      </w:r>
      <w:r>
        <w:rPr>
          <w:rFonts w:ascii="Times New Roman" w:hAnsi="Times New Roman" w:cs="Times New Roman"/>
          <w:b/>
          <w:bCs/>
          <w:sz w:val="22"/>
        </w:rPr>
        <w:t xml:space="preserve">ig. S3 </w:t>
      </w:r>
      <w:r>
        <w:rPr>
          <w:rFonts w:ascii="Times New Roman" w:hAnsi="Times New Roman" w:cs="Times New Roman"/>
          <w:bCs/>
          <w:sz w:val="22"/>
        </w:rPr>
        <w:t>The receptor-binding properties of 3W3 HA recombinant viruses.</w:t>
      </w:r>
      <w:r>
        <w:rPr>
          <w:rFonts w:ascii="Times New Roman" w:hAnsi="Times New Roman" w:cs="Times New Roman"/>
          <w:sz w:val="22"/>
        </w:rPr>
        <w:t xml:space="preserve"> Five rescued viruses containing single-point or triple-point HA mutation were tested using the solid-phase direct binding assay with trisaccharide receptors to determine their receptor binding preferences. Red and blue represent avian- and human-origin receptors, respectively. OD</w:t>
      </w:r>
      <w:r>
        <w:rPr>
          <w:rFonts w:ascii="Times New Roman" w:hAnsi="Times New Roman" w:cs="Times New Roman"/>
          <w:sz w:val="22"/>
          <w:vertAlign w:val="subscript"/>
        </w:rPr>
        <w:t>450</w:t>
      </w:r>
      <w:r>
        <w:rPr>
          <w:rFonts w:ascii="Times New Roman" w:hAnsi="Times New Roman" w:cs="Times New Roman"/>
          <w:sz w:val="22"/>
        </w:rPr>
        <w:t>, optical density at 450</w:t>
      </w:r>
      <w:r>
        <w:rPr>
          <w:rFonts w:hint="eastAsia" w:ascii="MS Gothic" w:hAnsi="MS Gothic" w:eastAsia="MS Gothic" w:cs="MS Gothic"/>
          <w:sz w:val="22"/>
        </w:rPr>
        <w:t> </w:t>
      </w:r>
      <w:r>
        <w:rPr>
          <w:rFonts w:ascii="Times New Roman" w:hAnsi="Times New Roman" w:cs="Times New Roman"/>
          <w:sz w:val="22"/>
        </w:rPr>
        <w:t>nm.</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b/>
          <w:bCs/>
          <w:sz w:val="22"/>
        </w:rPr>
        <w:t xml:space="preserve">Fig. S4 </w:t>
      </w:r>
      <w:r>
        <w:rPr>
          <w:rFonts w:hint="eastAsia" w:ascii="Times New Roman" w:hAnsi="Times New Roman" w:cs="Times New Roman"/>
          <w:bCs/>
          <w:sz w:val="22"/>
        </w:rPr>
        <w:t>B</w:t>
      </w:r>
      <w:r>
        <w:rPr>
          <w:rFonts w:ascii="Times New Roman" w:hAnsi="Times New Roman" w:cs="Times New Roman"/>
          <w:bCs/>
          <w:sz w:val="22"/>
        </w:rPr>
        <w:t>ack titration for tested recombinant viruses.</w:t>
      </w:r>
      <w:r>
        <w:rPr>
          <w:rFonts w:ascii="Times New Roman" w:hAnsi="Times New Roman" w:cs="Times New Roman"/>
          <w:sz w:val="22"/>
        </w:rPr>
        <w:t xml:space="preserve"> </w:t>
      </w:r>
      <w:r>
        <w:rPr>
          <w:rFonts w:ascii="Times New Roman" w:hAnsi="Times New Roman" w:cs="Times New Roman"/>
          <w:b/>
          <w:sz w:val="22"/>
        </w:rPr>
        <w:t>A</w:t>
      </w:r>
      <w:r>
        <w:rPr>
          <w:rFonts w:ascii="Times New Roman" w:hAnsi="Times New Roman" w:cs="Times New Roman"/>
          <w:sz w:val="22"/>
        </w:rPr>
        <w:t xml:space="preserve"> virus titer of 11 key viruses’ stocks. The virus titer was obtained by plaque assay in MDCK cells, and indicated with grey. The copy number of the viruses’ vRNA was obtained by absolute quantitative qPCR detecting the vRNA of </w:t>
      </w:r>
      <w:r>
        <w:rPr>
          <w:rFonts w:ascii="Times New Roman" w:hAnsi="Times New Roman" w:cs="Times New Roman"/>
          <w:i/>
          <w:sz w:val="22"/>
        </w:rPr>
        <w:t>NP</w:t>
      </w:r>
      <w:r>
        <w:rPr>
          <w:rFonts w:ascii="Times New Roman" w:hAnsi="Times New Roman" w:cs="Times New Roman"/>
          <w:sz w:val="22"/>
        </w:rPr>
        <w:t xml:space="preserve"> gene (presented as the means ± standard deviations, n = 3), pHW2000-NP as the standard, and marked with blue. </w:t>
      </w:r>
      <w:r>
        <w:rPr>
          <w:rFonts w:ascii="Times New Roman" w:hAnsi="Times New Roman" w:cs="Times New Roman"/>
          <w:b/>
          <w:sz w:val="22"/>
        </w:rPr>
        <w:t>B</w:t>
      </w:r>
      <w:r>
        <w:rPr>
          <w:rFonts w:ascii="Times New Roman" w:hAnsi="Times New Roman" w:cs="Times New Roman"/>
          <w:sz w:val="22"/>
        </w:rPr>
        <w:t xml:space="preserve"> The fold of plaque and the vRNA copy number of rP0 virus relative to each tested virus was showed with grey and blue, respectively (presented as the means ± standard deviations, n = 3). The mean values of the fold were indicated above the columns.</w:t>
      </w: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b/>
          <w:bCs/>
          <w:sz w:val="22"/>
        </w:rPr>
        <w:t xml:space="preserve">Fig. S5. </w:t>
      </w:r>
      <w:r>
        <w:rPr>
          <w:rFonts w:ascii="Times New Roman" w:hAnsi="Times New Roman" w:cs="Times New Roman"/>
          <w:bCs/>
          <w:sz w:val="22"/>
        </w:rPr>
        <w:t xml:space="preserve">Heat map of </w:t>
      </w:r>
      <w:r>
        <w:rPr>
          <w:rFonts w:ascii="Times New Roman" w:hAnsi="Times New Roman" w:cs="Times New Roman"/>
          <w:sz w:val="22"/>
        </w:rPr>
        <w:t>recombinant viruses with synergistic effects on viral replication. A549 and DF-1 cells were infected with the indicated recombinant viruses at MOI 0.01. The virus titers at various time points were normalized with those of the rP0 virus and visualized based on the Log</w:t>
      </w:r>
      <w:r>
        <w:rPr>
          <w:rFonts w:ascii="Times New Roman" w:hAnsi="Times New Roman" w:cs="Times New Roman"/>
          <w:sz w:val="22"/>
          <w:vertAlign w:val="subscript"/>
        </w:rPr>
        <w:t>2</w:t>
      </w:r>
      <w:r>
        <w:rPr>
          <w:rFonts w:ascii="Times New Roman" w:hAnsi="Times New Roman" w:cs="Times New Roman"/>
          <w:sz w:val="22"/>
        </w:rPr>
        <w:t xml:space="preserve"> fold-change of rP0. Each cell represents the fold change in virus titer (PFU/mL) at that time point compared with that of the rP0 virus after Log</w:t>
      </w:r>
      <w:r>
        <w:rPr>
          <w:rFonts w:ascii="Times New Roman" w:hAnsi="Times New Roman" w:cs="Times New Roman"/>
          <w:sz w:val="22"/>
          <w:vertAlign w:val="subscript"/>
        </w:rPr>
        <w:t>2</w:t>
      </w:r>
      <w:r>
        <w:rPr>
          <w:rFonts w:ascii="Times New Roman" w:hAnsi="Times New Roman" w:cs="Times New Roman"/>
          <w:sz w:val="22"/>
        </w:rPr>
        <w:t xml:space="preserve"> normalization. Each experiment was performed three times. T</w:t>
      </w:r>
      <w:r>
        <w:rPr>
          <w:rFonts w:hint="eastAsia" w:ascii="Times New Roman" w:hAnsi="Times New Roman" w:cs="Times New Roman"/>
          <w:sz w:val="22"/>
        </w:rPr>
        <w:t>he</w:t>
      </w:r>
      <w:r>
        <w:rPr>
          <w:rFonts w:ascii="Times New Roman" w:hAnsi="Times New Roman" w:cs="Times New Roman"/>
          <w:sz w:val="22"/>
        </w:rPr>
        <w:t xml:space="preserve"> viral titers of the first two viruses (except for rP0) </w:t>
      </w:r>
      <w:r>
        <w:rPr>
          <w:rFonts w:hint="eastAsia" w:ascii="Times New Roman" w:hAnsi="Times New Roman" w:cs="Times New Roman"/>
          <w:sz w:val="22"/>
        </w:rPr>
        <w:t>of</w:t>
      </w:r>
      <w:r>
        <w:rPr>
          <w:rFonts w:ascii="Times New Roman" w:hAnsi="Times New Roman" w:cs="Times New Roman"/>
          <w:sz w:val="22"/>
        </w:rPr>
        <w:t xml:space="preserve"> </w:t>
      </w:r>
      <w:r>
        <w:rPr>
          <w:rFonts w:hint="eastAsia" w:ascii="Times New Roman" w:hAnsi="Times New Roman" w:cs="Times New Roman"/>
          <w:sz w:val="22"/>
        </w:rPr>
        <w:t>each</w:t>
      </w:r>
      <w:r>
        <w:rPr>
          <w:rFonts w:ascii="Times New Roman" w:hAnsi="Times New Roman" w:cs="Times New Roman"/>
          <w:sz w:val="22"/>
        </w:rPr>
        <w:t xml:space="preserve"> </w:t>
      </w:r>
      <w:r>
        <w:rPr>
          <w:rFonts w:hint="eastAsia" w:ascii="Times New Roman" w:hAnsi="Times New Roman" w:cs="Times New Roman"/>
          <w:sz w:val="22"/>
        </w:rPr>
        <w:t>pattern</w:t>
      </w:r>
      <w:r>
        <w:rPr>
          <w:rFonts w:ascii="Times New Roman" w:hAnsi="Times New Roman" w:cs="Times New Roman"/>
          <w:sz w:val="22"/>
        </w:rPr>
        <w:t xml:space="preserve"> are compared with those of the third virus of each pattern, while the viral titers of the third virus of each pattern are compared with those of rP0. Two-tailed unpaired </w:t>
      </w:r>
      <w:r>
        <w:rPr>
          <w:rFonts w:ascii="Times New Roman" w:hAnsi="Times New Roman" w:cs="Times New Roman"/>
          <w:i/>
          <w:iCs/>
          <w:sz w:val="22"/>
        </w:rPr>
        <w:t>t</w:t>
      </w:r>
      <w:r>
        <w:rPr>
          <w:rFonts w:ascii="Times New Roman" w:hAnsi="Times New Roman" w:cs="Times New Roman"/>
          <w:sz w:val="22"/>
        </w:rPr>
        <w:t>-test, *</w:t>
      </w:r>
      <w:r>
        <w:rPr>
          <w:rFonts w:ascii="Times New Roman" w:hAnsi="Times New Roman" w:cs="Times New Roman"/>
          <w:i/>
          <w:sz w:val="22"/>
        </w:rPr>
        <w:t>P</w:t>
      </w:r>
      <w:r>
        <w:rPr>
          <w:rFonts w:ascii="Times New Roman" w:hAnsi="Times New Roman" w:cs="Times New Roman"/>
          <w:sz w:val="22"/>
        </w:rPr>
        <w:t xml:space="preserve"> &lt; 0.05, **</w:t>
      </w:r>
      <w:r>
        <w:rPr>
          <w:rFonts w:ascii="Times New Roman" w:hAnsi="Times New Roman" w:cs="Times New Roman"/>
          <w:i/>
          <w:sz w:val="22"/>
        </w:rPr>
        <w:t>P</w:t>
      </w:r>
      <w:r>
        <w:rPr>
          <w:rFonts w:ascii="Times New Roman" w:hAnsi="Times New Roman" w:cs="Times New Roman"/>
          <w:sz w:val="22"/>
        </w:rPr>
        <w:t xml:space="preserve"> &lt; 0.01, ***</w:t>
      </w:r>
      <w:r>
        <w:rPr>
          <w:rFonts w:ascii="Times New Roman" w:hAnsi="Times New Roman" w:cs="Times New Roman"/>
          <w:i/>
          <w:sz w:val="22"/>
        </w:rPr>
        <w:t>P</w:t>
      </w:r>
      <w:r>
        <w:rPr>
          <w:rFonts w:ascii="Times New Roman" w:hAnsi="Times New Roman" w:cs="Times New Roman"/>
          <w:sz w:val="22"/>
        </w:rPr>
        <w:t xml:space="preserve"> &lt; 0.001, ****</w:t>
      </w:r>
      <w:r>
        <w:rPr>
          <w:rFonts w:ascii="Times New Roman" w:hAnsi="Times New Roman" w:cs="Times New Roman"/>
          <w:i/>
          <w:sz w:val="22"/>
        </w:rPr>
        <w:t>P</w:t>
      </w:r>
      <w:r>
        <w:rPr>
          <w:rFonts w:ascii="Times New Roman" w:hAnsi="Times New Roman" w:cs="Times New Roman"/>
          <w:sz w:val="22"/>
        </w:rPr>
        <w:t xml:space="preserve"> &lt; 0.0001. P97, PA-T97I; P545, PA-I545V; P594, PA-S594G; H511, HA-T511I; H528, HA-A528V.</w:t>
      </w:r>
    </w:p>
    <w:p>
      <w:pPr>
        <w:rPr>
          <w:rFonts w:ascii="Times New Roman" w:hAnsi="Times New Roman" w:cs="Times New Roman"/>
          <w:sz w:val="22"/>
        </w:rPr>
      </w:pPr>
    </w:p>
    <w:p>
      <w:pPr>
        <w:rPr>
          <w:rFonts w:ascii="Times New Roman" w:hAnsi="Times New Roman" w:cs="Times New Roman"/>
          <w:sz w:val="22"/>
        </w:rPr>
        <w:sectPr>
          <w:pgSz w:w="11906" w:h="16838"/>
          <w:pgMar w:top="1440" w:right="1080" w:bottom="1440" w:left="1080" w:header="851" w:footer="992" w:gutter="0"/>
          <w:cols w:space="425" w:num="1"/>
          <w:docGrid w:type="lines" w:linePitch="312" w:charSpace="0"/>
        </w:sectPr>
      </w:pPr>
    </w:p>
    <w:p>
      <w:pPr>
        <w:rPr>
          <w:rFonts w:ascii="Times New Roman" w:hAnsi="Times New Roman" w:cs="Times New Roman"/>
          <w:sz w:val="22"/>
        </w:rPr>
      </w:pPr>
      <w:r>
        <w:rPr>
          <w:rFonts w:ascii="Times New Roman" w:hAnsi="Times New Roman" w:cs="Times New Roman"/>
          <w:b/>
          <w:bCs/>
          <w:sz w:val="22"/>
        </w:rPr>
        <w:t>Table S1.</w:t>
      </w:r>
      <w:r>
        <w:rPr>
          <w:rFonts w:ascii="Times New Roman" w:hAnsi="Times New Roman" w:cs="Times New Roman"/>
          <w:sz w:val="22"/>
        </w:rPr>
        <w:t xml:space="preserve"> The primer sequences used in this study.</w:t>
      </w:r>
    </w:p>
    <w:tbl>
      <w:tblPr>
        <w:tblStyle w:val="24"/>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77"/>
        <w:gridCol w:w="5382"/>
        <w:gridCol w:w="5589"/>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2977" w:type="dxa"/>
            <w:vMerge w:val="restart"/>
            <w:tcBorders>
              <w:top w:val="single" w:color="auto" w:sz="6" w:space="0"/>
              <w:bottom w:val="single" w:color="7E7E7E" w:themeColor="text1" w:themeTint="80" w:sz="4" w:space="0"/>
              <w:insideH w:val="single" w:sz="4" w:space="0"/>
            </w:tcBorders>
          </w:tcPr>
          <w:p>
            <w:pPr>
              <w:adjustRightInd w:val="0"/>
              <w:snapToGrid w:val="0"/>
              <w:rPr>
                <w:rFonts w:ascii="Times New Roman" w:hAnsi="Times New Roman" w:cs="Times New Roman"/>
                <w:b w:val="0"/>
                <w:bCs/>
                <w:sz w:val="22"/>
                <w:szCs w:val="24"/>
              </w:rPr>
            </w:pPr>
            <w:r>
              <w:rPr>
                <w:rFonts w:ascii="Times New Roman" w:hAnsi="Times New Roman" w:cs="Times New Roman"/>
                <w:b w:val="0"/>
                <w:bCs/>
                <w:sz w:val="22"/>
                <w:szCs w:val="24"/>
              </w:rPr>
              <w:t>Purpose</w:t>
            </w:r>
          </w:p>
        </w:tc>
        <w:tc>
          <w:tcPr>
            <w:tcW w:w="10971" w:type="dxa"/>
            <w:gridSpan w:val="2"/>
            <w:tcBorders>
              <w:top w:val="single" w:color="auto" w:sz="6" w:space="0"/>
              <w:bottom w:val="single" w:color="auto" w:sz="6" w:space="0"/>
            </w:tcBorders>
          </w:tcPr>
          <w:p>
            <w:pPr>
              <w:adjustRightInd w:val="0"/>
              <w:snapToGrid w:val="0"/>
              <w:jc w:val="center"/>
              <w:rPr>
                <w:rFonts w:ascii="Times New Roman" w:hAnsi="Times New Roman" w:cs="Times New Roman"/>
                <w:b w:val="0"/>
                <w:bCs/>
                <w:sz w:val="22"/>
                <w:szCs w:val="24"/>
              </w:rPr>
            </w:pPr>
            <w:r>
              <w:rPr>
                <w:rFonts w:ascii="Times New Roman" w:hAnsi="Times New Roman" w:cs="Times New Roman"/>
                <w:b w:val="0"/>
                <w:bCs/>
                <w:sz w:val="22"/>
                <w:szCs w:val="24"/>
              </w:rPr>
              <w:t>Primer sequence (5</w:t>
            </w:r>
            <w:bookmarkStart w:id="0" w:name="OLE_LINK89"/>
            <w:bookmarkStart w:id="1" w:name="OLE_LINK83"/>
            <w:bookmarkStart w:id="2" w:name="OLE_LINK87"/>
            <w:bookmarkStart w:id="3" w:name="OLE_LINK86"/>
            <w:r>
              <w:rPr>
                <w:rFonts w:ascii="Times New Roman" w:hAnsi="Times New Roman" w:eastAsia="宋体" w:cs="Times New Roman"/>
                <w:b w:val="0"/>
                <w:bCs/>
                <w:sz w:val="22"/>
              </w:rPr>
              <w:t>′</w:t>
            </w:r>
            <w:bookmarkEnd w:id="0"/>
            <w:bookmarkEnd w:id="1"/>
            <w:bookmarkEnd w:id="2"/>
            <w:bookmarkEnd w:id="3"/>
            <w:bookmarkStart w:id="4" w:name="OLE_LINK43"/>
            <w:bookmarkStart w:id="5" w:name="OLE_LINK75"/>
            <w:bookmarkStart w:id="6" w:name="OLE_LINK78"/>
            <w:bookmarkStart w:id="7" w:name="OLE_LINK42"/>
            <w:r>
              <w:rPr>
                <w:rFonts w:ascii="Times New Roman" w:hAnsi="Times New Roman" w:eastAsia="宋体" w:cs="Times New Roman"/>
                <w:b/>
                <w:bCs/>
                <w:sz w:val="22"/>
              </w:rPr>
              <w:t>–</w:t>
            </w:r>
            <w:bookmarkEnd w:id="4"/>
            <w:bookmarkEnd w:id="5"/>
            <w:bookmarkEnd w:id="6"/>
            <w:bookmarkEnd w:id="7"/>
            <w:r>
              <w:rPr>
                <w:rFonts w:ascii="Times New Roman" w:hAnsi="Times New Roman" w:cs="Times New Roman"/>
                <w:b w:val="0"/>
                <w:bCs/>
                <w:sz w:val="22"/>
                <w:szCs w:val="24"/>
              </w:rPr>
              <w:t>3</w:t>
            </w:r>
            <w:r>
              <w:rPr>
                <w:rFonts w:ascii="Times New Roman" w:hAnsi="Times New Roman" w:eastAsia="宋体" w:cs="Times New Roman"/>
                <w:b w:val="0"/>
                <w:bCs/>
                <w:sz w:val="22"/>
              </w:rPr>
              <w:t>′</w:t>
            </w:r>
            <w:r>
              <w:rPr>
                <w:rFonts w:ascii="Times New Roman" w:hAnsi="Times New Roman" w:cs="Times New Roman"/>
                <w:b w:val="0"/>
                <w:bCs/>
                <w:sz w:val="22"/>
                <w:szCs w:val="24"/>
              </w:rPr>
              <w:t xml:space="preserve">) </w:t>
            </w:r>
            <w:r>
              <w:rPr>
                <w:rFonts w:ascii="Times New Roman" w:hAnsi="Times New Roman" w:cs="Times New Roman"/>
                <w:b w:val="0"/>
                <w:bCs/>
                <w:sz w:val="22"/>
                <w:szCs w:val="24"/>
                <w:vertAlign w:val="superscript"/>
              </w:rPr>
              <w:t>a，b</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2977" w:type="dxa"/>
            <w:vMerge w:val="continue"/>
            <w:tcBorders>
              <w:top w:val="single" w:color="7E7E7E" w:themeColor="text1" w:themeTint="80" w:sz="4" w:space="0"/>
              <w:bottom w:val="single" w:color="auto" w:sz="6" w:space="0"/>
            </w:tcBorders>
          </w:tcPr>
          <w:p>
            <w:pPr>
              <w:adjustRightInd w:val="0"/>
              <w:snapToGrid w:val="0"/>
              <w:rPr>
                <w:rFonts w:ascii="Times New Roman" w:hAnsi="Times New Roman" w:cs="Times New Roman"/>
                <w:b w:val="0"/>
                <w:bCs/>
                <w:sz w:val="22"/>
                <w:szCs w:val="24"/>
              </w:rPr>
            </w:pPr>
          </w:p>
        </w:tc>
        <w:tc>
          <w:tcPr>
            <w:tcW w:w="5382" w:type="dxa"/>
            <w:tcBorders>
              <w:top w:val="single" w:color="auto" w:sz="6" w:space="0"/>
              <w:bottom w:val="single" w:color="auto" w:sz="6" w:space="0"/>
            </w:tcBorders>
          </w:tcPr>
          <w:p>
            <w:pPr>
              <w:adjustRightInd w:val="0"/>
              <w:snapToGrid w:val="0"/>
              <w:rPr>
                <w:rFonts w:ascii="Times New Roman" w:hAnsi="Times New Roman" w:cs="Times New Roman"/>
                <w:sz w:val="22"/>
                <w:szCs w:val="24"/>
              </w:rPr>
            </w:pPr>
            <w:r>
              <w:rPr>
                <w:rFonts w:ascii="Times New Roman" w:hAnsi="Times New Roman" w:cs="Times New Roman"/>
                <w:sz w:val="22"/>
                <w:szCs w:val="24"/>
              </w:rPr>
              <w:t>Forword</w:t>
            </w:r>
          </w:p>
        </w:tc>
        <w:tc>
          <w:tcPr>
            <w:tcW w:w="5589" w:type="dxa"/>
            <w:tcBorders>
              <w:top w:val="single" w:color="auto" w:sz="6" w:space="0"/>
              <w:bottom w:val="single" w:color="auto" w:sz="6" w:space="0"/>
            </w:tcBorders>
          </w:tcPr>
          <w:p>
            <w:pPr>
              <w:adjustRightInd w:val="0"/>
              <w:snapToGrid w:val="0"/>
              <w:rPr>
                <w:rFonts w:ascii="Times New Roman" w:hAnsi="Times New Roman" w:cs="Times New Roman"/>
                <w:sz w:val="22"/>
                <w:szCs w:val="24"/>
              </w:rPr>
            </w:pPr>
            <w:r>
              <w:rPr>
                <w:rFonts w:ascii="Times New Roman" w:hAnsi="Times New Roman" w:cs="Times New Roman"/>
                <w:sz w:val="22"/>
                <w:szCs w:val="24"/>
              </w:rPr>
              <w:t>Reverse</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6" w:space="0"/>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pHW2000-PB2 construction</w:t>
            </w:r>
          </w:p>
        </w:tc>
        <w:tc>
          <w:tcPr>
            <w:tcW w:w="5382" w:type="dxa"/>
            <w:tcBorders>
              <w:top w:val="single" w:color="auto" w:sz="6" w:space="0"/>
              <w:bottom w:val="nil"/>
            </w:tcBorders>
          </w:tcPr>
          <w:p>
            <w:pPr>
              <w:adjustRightInd w:val="0"/>
              <w:snapToGrid w:val="0"/>
              <w:rPr>
                <w:rFonts w:ascii="Times New Roman" w:hAnsi="Times New Roman" w:eastAsia="宋体" w:cs="Times New Roman"/>
                <w:b/>
                <w:bCs/>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AGCGAAAGCAGGTCAAATATATTCAATATGG</w:t>
            </w:r>
          </w:p>
        </w:tc>
        <w:tc>
          <w:tcPr>
            <w:tcW w:w="5589" w:type="dxa"/>
            <w:tcBorders>
              <w:top w:val="single" w:color="auto" w:sz="6" w:space="0"/>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AGTAGAAACAAGGTCGTTTTTAAACAATTCG</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pHW2000-PB1 construction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AGCGAAAGCAGGCAAACTATTTGAATGGA</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AGTAGAAACAAGGCATTTTTTCATGAAGG</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pHW2000-PA construction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AGCGAAAGCAGGTACTGATCCAAAATGG</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AGTAGAAACAAGGTACTTTTTTGGACAG</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pHW2000-HA construction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AGCAAAAGCAGGGGAATTTCACAACCACTCAAGATG</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AGTAGAAACAAGGGTGTTTTTGCTAATTATATAC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pHW2000-NP construction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AGCAAAAGCAGGGTAGATAATCACTCACTGAGTGA</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AGTAGAAACAAGGGTATTTTTCTTCAATTGTC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pHW2000-NA construction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AGCAAAAGCAGGAGTGAAAATGAATCC</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AGTAGAAACAAGGAGTTTTTTCTAAAATTGCG</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pHW2000-M construction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AGCAAAAGCAGGTAGATGTTTAAAGATG</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AGTAGAAACAAGGTAGTTTTTTCAGTCAGC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pHW2000-NS construction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ACCTCCGAAGTTGGGGGGG</w:t>
            </w:r>
            <w:r>
              <w:rPr>
                <w:rFonts w:ascii="Times New Roman" w:hAnsi="Times New Roman" w:eastAsia="宋体" w:cs="Times New Roman"/>
                <w:sz w:val="22"/>
                <w:szCs w:val="24"/>
              </w:rPr>
              <w:t>AGCAAAAGCAGGGTGACAAAAACATAATGG</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u w:val="single"/>
              </w:rPr>
              <w:t>TTTTGGGCCGCCGGGTTATT</w:t>
            </w:r>
            <w:r>
              <w:rPr>
                <w:rFonts w:ascii="Times New Roman" w:hAnsi="Times New Roman" w:eastAsia="宋体" w:cs="Times New Roman"/>
                <w:sz w:val="22"/>
                <w:szCs w:val="24"/>
              </w:rPr>
              <w:t>AGTAGAAACAAGGGTGTTTTTTATCATTA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HA-L226Q mutation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CAACGGTC</w:t>
            </w:r>
            <w:r>
              <w:rPr>
                <w:rFonts w:ascii="Times New Roman" w:hAnsi="Times New Roman" w:eastAsia="宋体" w:cs="Times New Roman"/>
                <w:b/>
                <w:bCs/>
                <w:sz w:val="22"/>
                <w:szCs w:val="24"/>
              </w:rPr>
              <w:t>A</w:t>
            </w:r>
            <w:r>
              <w:rPr>
                <w:rFonts w:ascii="Times New Roman" w:hAnsi="Times New Roman" w:eastAsia="宋体" w:cs="Times New Roman"/>
                <w:sz w:val="22"/>
                <w:szCs w:val="24"/>
              </w:rPr>
              <w:t>GATGGGAAGAATCAATTATTACTGGT</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TCTTCCCATC</w:t>
            </w:r>
            <w:r>
              <w:rPr>
                <w:rFonts w:ascii="Times New Roman" w:hAnsi="Times New Roman" w:eastAsia="宋体" w:cs="Times New Roman"/>
                <w:b/>
                <w:bCs/>
                <w:sz w:val="22"/>
                <w:szCs w:val="24"/>
              </w:rPr>
              <w:t>T</w:t>
            </w:r>
            <w:r>
              <w:rPr>
                <w:rFonts w:ascii="Times New Roman" w:hAnsi="Times New Roman" w:eastAsia="宋体" w:cs="Times New Roman"/>
                <w:sz w:val="22"/>
                <w:szCs w:val="24"/>
              </w:rPr>
              <w:t>GACCGTTGACAAGAGGCCTTGGTC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HA-T511I mutation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GAAGGAA</w:t>
            </w:r>
            <w:r>
              <w:rPr>
                <w:rFonts w:ascii="Times New Roman" w:hAnsi="Times New Roman" w:eastAsia="宋体" w:cs="Times New Roman"/>
                <w:b/>
                <w:bCs/>
                <w:sz w:val="22"/>
                <w:szCs w:val="24"/>
              </w:rPr>
              <w:t>T</w:t>
            </w:r>
            <w:r>
              <w:rPr>
                <w:rFonts w:ascii="Times New Roman" w:hAnsi="Times New Roman" w:eastAsia="宋体" w:cs="Times New Roman"/>
                <w:sz w:val="22"/>
                <w:szCs w:val="24"/>
              </w:rPr>
              <w:t>TTACAAAATCCTAACCATTTATTCGA</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GATTTTGTAA</w:t>
            </w:r>
            <w:r>
              <w:rPr>
                <w:rFonts w:ascii="Times New Roman" w:hAnsi="Times New Roman" w:eastAsia="宋体" w:cs="Times New Roman"/>
                <w:b/>
                <w:bCs/>
                <w:sz w:val="22"/>
                <w:szCs w:val="24"/>
              </w:rPr>
              <w:t>A</w:t>
            </w:r>
            <w:r>
              <w:rPr>
                <w:rFonts w:ascii="Times New Roman" w:hAnsi="Times New Roman" w:eastAsia="宋体" w:cs="Times New Roman"/>
                <w:sz w:val="22"/>
                <w:szCs w:val="24"/>
              </w:rPr>
              <w:t>TTCCTTCAGATTCCAGCTTGACC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HA-A528V mutation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GTGATTG</w:t>
            </w:r>
            <w:r>
              <w:rPr>
                <w:rFonts w:ascii="Times New Roman" w:hAnsi="Times New Roman" w:eastAsia="宋体" w:cs="Times New Roman"/>
                <w:b/>
                <w:bCs/>
                <w:sz w:val="22"/>
                <w:szCs w:val="24"/>
              </w:rPr>
              <w:t>T</w:t>
            </w:r>
            <w:r>
              <w:rPr>
                <w:rFonts w:ascii="Times New Roman" w:hAnsi="Times New Roman" w:eastAsia="宋体" w:cs="Times New Roman"/>
                <w:sz w:val="22"/>
                <w:szCs w:val="24"/>
              </w:rPr>
              <w:t>AATGGGGTTTGCTGCCTTCTTGTT</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ACCCCATT</w:t>
            </w:r>
            <w:r>
              <w:rPr>
                <w:rFonts w:ascii="Times New Roman" w:hAnsi="Times New Roman" w:eastAsia="宋体" w:cs="Times New Roman"/>
                <w:b/>
                <w:bCs/>
                <w:sz w:val="22"/>
                <w:szCs w:val="24"/>
              </w:rPr>
              <w:t>A</w:t>
            </w:r>
            <w:r>
              <w:rPr>
                <w:rFonts w:ascii="Times New Roman" w:hAnsi="Times New Roman" w:eastAsia="宋体" w:cs="Times New Roman"/>
                <w:sz w:val="22"/>
                <w:szCs w:val="24"/>
              </w:rPr>
              <w:t>CAATCACAAGGGATGAGGCGACA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PA-T97I mutation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TGCAACA</w:t>
            </w:r>
            <w:r>
              <w:rPr>
                <w:rFonts w:ascii="Times New Roman" w:hAnsi="Times New Roman" w:eastAsia="宋体" w:cs="Times New Roman"/>
                <w:b/>
                <w:bCs/>
                <w:sz w:val="22"/>
                <w:szCs w:val="24"/>
              </w:rPr>
              <w:t>T</w:t>
            </w:r>
            <w:r>
              <w:rPr>
                <w:rFonts w:ascii="Times New Roman" w:hAnsi="Times New Roman" w:eastAsia="宋体" w:cs="Times New Roman"/>
                <w:sz w:val="22"/>
                <w:szCs w:val="24"/>
              </w:rPr>
              <w:t>CACGGGTGTCGAAAAACCTAAAT</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CACCCGTG</w:t>
            </w:r>
            <w:r>
              <w:rPr>
                <w:rFonts w:ascii="Times New Roman" w:hAnsi="Times New Roman" w:eastAsia="宋体" w:cs="Times New Roman"/>
                <w:b/>
                <w:bCs/>
                <w:sz w:val="22"/>
                <w:szCs w:val="24"/>
              </w:rPr>
              <w:t>A</w:t>
            </w:r>
            <w:r>
              <w:rPr>
                <w:rFonts w:ascii="Times New Roman" w:hAnsi="Times New Roman" w:eastAsia="宋体" w:cs="Times New Roman"/>
                <w:sz w:val="22"/>
                <w:szCs w:val="24"/>
              </w:rPr>
              <w:t>TGTTGCAGATACTATTCACCAC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PA-I545V mutation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TCCTTGAA</w:t>
            </w:r>
            <w:r>
              <w:rPr>
                <w:rFonts w:ascii="Times New Roman" w:hAnsi="Times New Roman" w:eastAsia="宋体" w:cs="Times New Roman"/>
                <w:b/>
                <w:bCs/>
                <w:sz w:val="22"/>
                <w:szCs w:val="24"/>
              </w:rPr>
              <w:t>G</w:t>
            </w:r>
            <w:r>
              <w:rPr>
                <w:rFonts w:ascii="Times New Roman" w:hAnsi="Times New Roman" w:eastAsia="宋体" w:cs="Times New Roman"/>
                <w:sz w:val="22"/>
                <w:szCs w:val="24"/>
              </w:rPr>
              <w:t>TAGGGGATATGCTCCTGCGAAC</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TCCCCTA</w:t>
            </w:r>
            <w:r>
              <w:rPr>
                <w:rFonts w:ascii="Times New Roman" w:hAnsi="Times New Roman" w:eastAsia="宋体" w:cs="Times New Roman"/>
                <w:b/>
                <w:bCs/>
                <w:sz w:val="22"/>
                <w:szCs w:val="24"/>
              </w:rPr>
              <w:t>C</w:t>
            </w:r>
            <w:r>
              <w:rPr>
                <w:rFonts w:ascii="Times New Roman" w:hAnsi="Times New Roman" w:eastAsia="宋体" w:cs="Times New Roman"/>
                <w:sz w:val="22"/>
                <w:szCs w:val="24"/>
              </w:rPr>
              <w:t>TTCAAGGACACAATACTTTTCCCA</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2977" w:type="dxa"/>
            <w:tcBorders>
              <w:top w:val="nil"/>
              <w:bottom w:val="nil"/>
            </w:tcBorders>
          </w:tcPr>
          <w:p>
            <w:pPr>
              <w:adjustRightInd w:val="0"/>
              <w:snapToGrid w:val="0"/>
              <w:rPr>
                <w:rFonts w:ascii="Times New Roman" w:hAnsi="Times New Roman" w:cs="Times New Roman"/>
                <w:b w:val="0"/>
                <w:bCs w:val="0"/>
                <w:sz w:val="22"/>
                <w:szCs w:val="24"/>
              </w:rPr>
            </w:pPr>
            <w:r>
              <w:rPr>
                <w:rFonts w:ascii="Times New Roman" w:hAnsi="Times New Roman" w:cs="Times New Roman"/>
                <w:b w:val="0"/>
                <w:bCs/>
                <w:sz w:val="22"/>
                <w:szCs w:val="24"/>
              </w:rPr>
              <w:t>PA-S594G mutation</w:t>
            </w:r>
          </w:p>
        </w:tc>
        <w:tc>
          <w:tcPr>
            <w:tcW w:w="5382"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GATTGAG</w:t>
            </w:r>
            <w:r>
              <w:rPr>
                <w:rFonts w:ascii="Times New Roman" w:hAnsi="Times New Roman" w:eastAsia="宋体" w:cs="Times New Roman"/>
                <w:b/>
                <w:bCs/>
                <w:sz w:val="22"/>
                <w:szCs w:val="24"/>
              </w:rPr>
              <w:t>G</w:t>
            </w:r>
            <w:r>
              <w:rPr>
                <w:rFonts w:ascii="Times New Roman" w:hAnsi="Times New Roman" w:eastAsia="宋体" w:cs="Times New Roman"/>
                <w:sz w:val="22"/>
                <w:szCs w:val="24"/>
              </w:rPr>
              <w:t>GTATGATTGAAGCTGAATCCTCCG</w:t>
            </w:r>
          </w:p>
        </w:tc>
        <w:tc>
          <w:tcPr>
            <w:tcW w:w="5589" w:type="dxa"/>
            <w:tcBorders>
              <w:top w:val="nil"/>
              <w:bottom w:val="nil"/>
            </w:tcBorders>
          </w:tcPr>
          <w:p>
            <w:pPr>
              <w:adjustRightInd w:val="0"/>
              <w:snapToGrid w:val="0"/>
              <w:rPr>
                <w:rFonts w:ascii="Times New Roman" w:hAnsi="Times New Roman" w:cs="Times New Roman"/>
                <w:sz w:val="22"/>
                <w:szCs w:val="24"/>
              </w:rPr>
            </w:pPr>
            <w:r>
              <w:rPr>
                <w:rFonts w:ascii="Times New Roman" w:hAnsi="Times New Roman" w:eastAsia="宋体" w:cs="Times New Roman"/>
                <w:sz w:val="22"/>
                <w:szCs w:val="24"/>
              </w:rPr>
              <w:t>CAATCATAC</w:t>
            </w:r>
            <w:r>
              <w:rPr>
                <w:rFonts w:ascii="Times New Roman" w:hAnsi="Times New Roman" w:eastAsia="宋体" w:cs="Times New Roman"/>
                <w:b/>
                <w:bCs/>
                <w:sz w:val="22"/>
                <w:szCs w:val="24"/>
              </w:rPr>
              <w:t>C</w:t>
            </w:r>
            <w:r>
              <w:rPr>
                <w:rFonts w:ascii="Times New Roman" w:hAnsi="Times New Roman" w:eastAsia="宋体" w:cs="Times New Roman"/>
                <w:sz w:val="22"/>
                <w:szCs w:val="24"/>
              </w:rPr>
              <w:t>CTCAATCTGTTGGAGAGACTGG</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2977" w:type="dxa"/>
            <w:tcBorders>
              <w:top w:val="nil"/>
              <w:bottom w:val="single" w:color="auto" w:sz="6" w:space="0"/>
            </w:tcBorders>
          </w:tcPr>
          <w:p>
            <w:pPr>
              <w:adjustRightInd w:val="0"/>
              <w:snapToGrid w:val="0"/>
              <w:rPr>
                <w:rFonts w:ascii="Times New Roman" w:hAnsi="Times New Roman" w:cs="Times New Roman"/>
                <w:b w:val="0"/>
                <w:bCs/>
                <w:sz w:val="22"/>
                <w:szCs w:val="24"/>
              </w:rPr>
            </w:pPr>
            <w:bookmarkStart w:id="8" w:name="OLE_LINK3"/>
            <w:r>
              <w:rPr>
                <w:rFonts w:hint="eastAsia" w:ascii="Times New Roman" w:hAnsi="Times New Roman" w:cs="Times New Roman"/>
                <w:b w:val="0"/>
                <w:bCs/>
                <w:sz w:val="22"/>
                <w:szCs w:val="24"/>
              </w:rPr>
              <w:t>q</w:t>
            </w:r>
            <w:r>
              <w:rPr>
                <w:rFonts w:ascii="Times New Roman" w:hAnsi="Times New Roman" w:cs="Times New Roman"/>
                <w:b w:val="0"/>
                <w:bCs/>
                <w:sz w:val="22"/>
                <w:szCs w:val="24"/>
              </w:rPr>
              <w:t>PCR detection of NP vRNA</w:t>
            </w:r>
            <w:bookmarkEnd w:id="8"/>
          </w:p>
        </w:tc>
        <w:tc>
          <w:tcPr>
            <w:tcW w:w="5382" w:type="dxa"/>
            <w:tcBorders>
              <w:top w:val="nil"/>
              <w:bottom w:val="single" w:color="auto" w:sz="6" w:space="0"/>
            </w:tcBorders>
          </w:tcPr>
          <w:p>
            <w:pPr>
              <w:adjustRightInd w:val="0"/>
              <w:snapToGrid w:val="0"/>
              <w:rPr>
                <w:rFonts w:ascii="Times New Roman" w:hAnsi="Times New Roman" w:eastAsia="宋体" w:cs="Times New Roman"/>
                <w:sz w:val="22"/>
                <w:szCs w:val="24"/>
              </w:rPr>
            </w:pPr>
            <w:r>
              <w:rPr>
                <w:rFonts w:ascii="Times New Roman" w:hAnsi="Times New Roman" w:eastAsia="宋体" w:cs="Times New Roman"/>
                <w:sz w:val="22"/>
                <w:szCs w:val="24"/>
              </w:rPr>
              <w:t>AACTGCTGGCCTTACCCATCTGAT</w:t>
            </w:r>
          </w:p>
        </w:tc>
        <w:tc>
          <w:tcPr>
            <w:tcW w:w="5589" w:type="dxa"/>
            <w:tcBorders>
              <w:top w:val="nil"/>
              <w:bottom w:val="single" w:color="auto" w:sz="6" w:space="0"/>
            </w:tcBorders>
          </w:tcPr>
          <w:p>
            <w:pPr>
              <w:adjustRightInd w:val="0"/>
              <w:snapToGrid w:val="0"/>
              <w:rPr>
                <w:rFonts w:ascii="Times New Roman" w:hAnsi="Times New Roman" w:eastAsia="宋体" w:cs="Times New Roman"/>
                <w:sz w:val="22"/>
                <w:szCs w:val="24"/>
              </w:rPr>
            </w:pPr>
            <w:r>
              <w:rPr>
                <w:rFonts w:ascii="Times New Roman" w:hAnsi="Times New Roman" w:eastAsia="宋体" w:cs="Times New Roman"/>
                <w:sz w:val="22"/>
                <w:szCs w:val="24"/>
              </w:rPr>
              <w:t>AGAGAGCACATCCTGGGGTCCATC</w:t>
            </w:r>
          </w:p>
        </w:tc>
      </w:tr>
    </w:tbl>
    <w:p>
      <w:pPr>
        <w:pStyle w:val="25"/>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The underlined sequences indicate homologous sequence to the corresponding gene;</w:t>
      </w:r>
    </w:p>
    <w:p>
      <w:pPr>
        <w:pStyle w:val="25"/>
        <w:numPr>
          <w:ilvl w:val="0"/>
          <w:numId w:val="1"/>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The changed nucleotides are in boldface.</w:t>
      </w:r>
    </w:p>
    <w:p>
      <w:pPr>
        <w:rPr>
          <w:rFonts w:ascii="Times New Roman" w:hAnsi="Times New Roman" w:cs="Times New Roman"/>
          <w:sz w:val="22"/>
        </w:rPr>
        <w:sectPr>
          <w:type w:val="continuous"/>
          <w:pgSz w:w="16838" w:h="11906" w:orient="landscape"/>
          <w:pgMar w:top="1440" w:right="1080" w:bottom="1440" w:left="1080" w:header="851" w:footer="992" w:gutter="0"/>
          <w:cols w:space="425" w:num="1"/>
          <w:docGrid w:type="lines" w:linePitch="312" w:charSpace="0"/>
        </w:sectPr>
      </w:pPr>
    </w:p>
    <w:p>
      <w:pPr>
        <w:rPr>
          <w:rFonts w:ascii="Times New Roman" w:hAnsi="Times New Roman" w:cs="Times New Roman"/>
          <w:sz w:val="22"/>
        </w:rPr>
      </w:pPr>
    </w:p>
    <w:p>
      <w:pPr>
        <w:rPr>
          <w:rFonts w:ascii="Times New Roman" w:hAnsi="Times New Roman" w:cs="Times New Roman"/>
          <w:sz w:val="22"/>
        </w:rPr>
      </w:pPr>
      <w:r>
        <w:rPr>
          <w:rFonts w:ascii="Times New Roman" w:hAnsi="Times New Roman" w:cs="Times New Roman"/>
          <w:b/>
          <w:bCs/>
          <w:sz w:val="22"/>
        </w:rPr>
        <w:t xml:space="preserve">S1 Dataset. </w:t>
      </w:r>
      <w:r>
        <w:rPr>
          <w:rFonts w:ascii="Times New Roman" w:hAnsi="Times New Roman" w:cs="Times New Roman"/>
          <w:sz w:val="22"/>
        </w:rPr>
        <w:t>Sheet 1: HA protein molecular characteristics of mammalian H9N2 viruses. Sheet 2: PA protein molecular characteristics of mammalian H9N2 viruses. Sheet 3: HA protein molecular characteristics of avian H9N2 viruses. Sheet 4: PA protein molecular characteristics of avian H9N2 viruses.</w:t>
      </w:r>
    </w:p>
    <w:p>
      <w:pPr>
        <w:rPr>
          <w:rFonts w:ascii="Times New Roman" w:hAnsi="Times New Roman" w:cs="Times New Roman"/>
          <w:sz w:val="22"/>
        </w:rPr>
      </w:pPr>
    </w:p>
    <w:p>
      <w:pPr>
        <w:rPr>
          <w:rFonts w:ascii="Times New Roman" w:hAnsi="Times New Roman" w:cs="Times New Roman"/>
          <w:b/>
          <w:bCs/>
          <w:sz w:val="22"/>
        </w:rPr>
      </w:pPr>
      <w:r>
        <w:rPr>
          <w:rFonts w:ascii="Times New Roman" w:hAnsi="Times New Roman" w:cs="Times New Roman"/>
          <w:b/>
          <w:bCs/>
          <w:sz w:val="22"/>
        </w:rPr>
        <w:t xml:space="preserve">S2 Dataset. </w:t>
      </w:r>
      <w:r>
        <w:rPr>
          <w:rFonts w:ascii="Times New Roman" w:hAnsi="Times New Roman" w:cs="Times New Roman"/>
          <w:sz w:val="22"/>
        </w:rPr>
        <w:t>Quantification of the viral titers for three repeats of all the 64 recombinant viruses normalized to rP0 virus.</w:t>
      </w:r>
    </w:p>
    <w:p>
      <w:pPr>
        <w:rPr>
          <w:rFonts w:ascii="Times New Roman" w:hAnsi="Times New Roman" w:cs="Times New Roman"/>
          <w:sz w:val="22"/>
        </w:rPr>
      </w:pPr>
    </w:p>
    <w:p>
      <w:pPr>
        <w:rPr>
          <w:rFonts w:ascii="Times New Roman" w:hAnsi="Times New Roman" w:cs="Times New Roman"/>
          <w:sz w:val="22"/>
        </w:rPr>
      </w:pPr>
    </w:p>
    <w:sectPr>
      <w:type w:val="continuous"/>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NewRoman">
    <w:altName w:val="微软雅黑"/>
    <w:panose1 w:val="00000000000000000000"/>
    <w:charset w:val="86"/>
    <w:family w:val="auto"/>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rPr>
    </w:pPr>
    <w:r>
      <w:rPr>
        <w:rFonts w:ascii="Times New Roman" w:hAnsi="Times New Roman" w:cs="Times New Roman"/>
      </w:rPr>
      <w:ptab w:relativeTo="margin" w:alignment="center" w:leader="none"/>
    </w:r>
    <w:r>
      <w:rPr>
        <w:rFonts w:ascii="Times New Roman" w:hAnsi="Times New Roman" w:cs="Times New Roman"/>
      </w:rPr>
      <w:ptab w:relativeTo="margin" w:alignment="right" w:leader="none"/>
    </w:r>
    <w:r>
      <w:rPr>
        <w:rFonts w:ascii="Times New Roman" w:hAnsi="Times New Roman" w:cs="Times New Roman"/>
      </w:rPr>
      <w:t>www.virosin.org</w:t>
    </w:r>
  </w:p>
  <w:p>
    <w:pPr>
      <w:pStyle w:val="4"/>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8336367"/>
      <w:docPartObj>
        <w:docPartGallery w:val="AutoText"/>
      </w:docPartObj>
    </w:sdtPr>
    <w:sdtContent>
      <w:p>
        <w:pPr>
          <w:pStyle w:val="5"/>
          <w:pBdr>
            <w:bottom w:val="none" w:color="auto" w:sz="0" w:space="0"/>
          </w:pBdr>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04BB5"/>
    <w:multiLevelType w:val="multilevel"/>
    <w:tmpl w:val="16904BB5"/>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v0srw5ypwsfwexpf759dsft0p9f9a5rs90&quot;&gt;Ticks+Birds&lt;record-ids&gt;&lt;item&gt;214&lt;/item&gt;&lt;item&gt;215&lt;/item&gt;&lt;item&gt;258&lt;/item&gt;&lt;/record-ids&gt;&lt;/item&gt;&lt;/Libraries&gt;"/>
  </w:docVars>
  <w:rsids>
    <w:rsidRoot w:val="00A979DC"/>
    <w:rsid w:val="00014C75"/>
    <w:rsid w:val="00066893"/>
    <w:rsid w:val="000C6CD9"/>
    <w:rsid w:val="0011587E"/>
    <w:rsid w:val="00177CA6"/>
    <w:rsid w:val="001A76AD"/>
    <w:rsid w:val="001E69B9"/>
    <w:rsid w:val="00206C6C"/>
    <w:rsid w:val="00210E64"/>
    <w:rsid w:val="00240334"/>
    <w:rsid w:val="002C1C2E"/>
    <w:rsid w:val="002D5A24"/>
    <w:rsid w:val="002E6EB7"/>
    <w:rsid w:val="002F176E"/>
    <w:rsid w:val="00303B0D"/>
    <w:rsid w:val="00334E42"/>
    <w:rsid w:val="00353D2A"/>
    <w:rsid w:val="00370F3F"/>
    <w:rsid w:val="003C4161"/>
    <w:rsid w:val="00405DBF"/>
    <w:rsid w:val="00451B44"/>
    <w:rsid w:val="00480A4F"/>
    <w:rsid w:val="0048458F"/>
    <w:rsid w:val="004C4545"/>
    <w:rsid w:val="00574A70"/>
    <w:rsid w:val="005D4CE1"/>
    <w:rsid w:val="005E72F5"/>
    <w:rsid w:val="005E74D6"/>
    <w:rsid w:val="005F2FB1"/>
    <w:rsid w:val="00611379"/>
    <w:rsid w:val="00623465"/>
    <w:rsid w:val="00626DEF"/>
    <w:rsid w:val="00635919"/>
    <w:rsid w:val="006B2C97"/>
    <w:rsid w:val="006C0D94"/>
    <w:rsid w:val="006E1E28"/>
    <w:rsid w:val="006F2094"/>
    <w:rsid w:val="007024D7"/>
    <w:rsid w:val="00734F3B"/>
    <w:rsid w:val="00751D20"/>
    <w:rsid w:val="00766CC7"/>
    <w:rsid w:val="007E4859"/>
    <w:rsid w:val="007F2AC5"/>
    <w:rsid w:val="008052E2"/>
    <w:rsid w:val="00852516"/>
    <w:rsid w:val="008832E5"/>
    <w:rsid w:val="008D6DE8"/>
    <w:rsid w:val="009250AD"/>
    <w:rsid w:val="009279C6"/>
    <w:rsid w:val="00940D14"/>
    <w:rsid w:val="00964DC0"/>
    <w:rsid w:val="009E7F2D"/>
    <w:rsid w:val="00A1206E"/>
    <w:rsid w:val="00A72EAB"/>
    <w:rsid w:val="00A770E3"/>
    <w:rsid w:val="00A979DC"/>
    <w:rsid w:val="00B23C25"/>
    <w:rsid w:val="00B51E18"/>
    <w:rsid w:val="00B66A39"/>
    <w:rsid w:val="00BC6AF7"/>
    <w:rsid w:val="00BD1753"/>
    <w:rsid w:val="00C23E11"/>
    <w:rsid w:val="00C35BED"/>
    <w:rsid w:val="00C46BA4"/>
    <w:rsid w:val="00C52EE3"/>
    <w:rsid w:val="00CC1889"/>
    <w:rsid w:val="00CC2A9E"/>
    <w:rsid w:val="00D168F4"/>
    <w:rsid w:val="00D35173"/>
    <w:rsid w:val="00D36122"/>
    <w:rsid w:val="00D72A98"/>
    <w:rsid w:val="00DB33F5"/>
    <w:rsid w:val="00DC370E"/>
    <w:rsid w:val="00DF090B"/>
    <w:rsid w:val="00F86D12"/>
    <w:rsid w:val="00FB5496"/>
    <w:rsid w:val="00FC5568"/>
    <w:rsid w:val="489E4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unhideWhenUsed/>
    <w:qFormat/>
    <w:uiPriority w:val="99"/>
    <w:pPr>
      <w:jc w:val="left"/>
    </w:pPr>
  </w:style>
  <w:style w:type="paragraph" w:styleId="3">
    <w:name w:val="Balloon Text"/>
    <w:basedOn w:val="1"/>
    <w:link w:val="19"/>
    <w:autoRedefine/>
    <w:semiHidden/>
    <w:unhideWhenUsed/>
    <w:qFormat/>
    <w:uiPriority w:val="99"/>
    <w:rPr>
      <w:sz w:val="18"/>
      <w:szCs w:val="18"/>
    </w:rPr>
  </w:style>
  <w:style w:type="paragraph" w:styleId="4">
    <w:name w:val="footer"/>
    <w:basedOn w:val="1"/>
    <w:link w:val="21"/>
    <w:autoRedefine/>
    <w:unhideWhenUsed/>
    <w:qFormat/>
    <w:uiPriority w:val="99"/>
    <w:pPr>
      <w:tabs>
        <w:tab w:val="center" w:pos="4153"/>
        <w:tab w:val="right" w:pos="8306"/>
      </w:tabs>
      <w:snapToGrid w:val="0"/>
      <w:jc w:val="left"/>
    </w:pPr>
    <w:rPr>
      <w:sz w:val="18"/>
      <w:szCs w:val="18"/>
    </w:rPr>
  </w:style>
  <w:style w:type="paragraph" w:styleId="5">
    <w:name w:val="header"/>
    <w:basedOn w:val="1"/>
    <w:link w:val="2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autoRedefine/>
    <w:semiHidden/>
    <w:unhideWhenUsed/>
    <w:qFormat/>
    <w:uiPriority w:val="99"/>
    <w:rPr>
      <w:b/>
      <w:bCs/>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line number"/>
    <w:basedOn w:val="9"/>
    <w:autoRedefine/>
    <w:semiHidden/>
    <w:unhideWhenUsed/>
    <w:qFormat/>
    <w:uiPriority w:val="99"/>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autoRedefine/>
    <w:semiHidden/>
    <w:unhideWhenUsed/>
    <w:qFormat/>
    <w:uiPriority w:val="99"/>
    <w:rPr>
      <w:sz w:val="21"/>
      <w:szCs w:val="21"/>
    </w:rPr>
  </w:style>
  <w:style w:type="paragraph" w:customStyle="1" w:styleId="14">
    <w:name w:val="EndNote Bibliography"/>
    <w:basedOn w:val="1"/>
    <w:autoRedefine/>
    <w:qFormat/>
    <w:uiPriority w:val="0"/>
    <w:rPr>
      <w:rFonts w:ascii="等线" w:hAnsi="等线" w:eastAsia="等线" w:cs="Times New Roman"/>
      <w:sz w:val="20"/>
      <w:szCs w:val="20"/>
    </w:rPr>
  </w:style>
  <w:style w:type="paragraph" w:customStyle="1" w:styleId="15">
    <w:name w:val="EndNote Bibliography Title"/>
    <w:basedOn w:val="1"/>
    <w:link w:val="16"/>
    <w:autoRedefine/>
    <w:qFormat/>
    <w:uiPriority w:val="0"/>
    <w:pPr>
      <w:jc w:val="center"/>
    </w:pPr>
    <w:rPr>
      <w:rFonts w:ascii="等线" w:hAnsi="等线" w:eastAsia="等线"/>
      <w:sz w:val="20"/>
    </w:rPr>
  </w:style>
  <w:style w:type="character" w:customStyle="1" w:styleId="16">
    <w:name w:val="EndNote Bibliography Title 字符"/>
    <w:basedOn w:val="9"/>
    <w:link w:val="15"/>
    <w:autoRedefine/>
    <w:qFormat/>
    <w:uiPriority w:val="0"/>
    <w:rPr>
      <w:rFonts w:ascii="等线" w:hAnsi="等线" w:eastAsia="等线"/>
      <w:sz w:val="20"/>
    </w:rPr>
  </w:style>
  <w:style w:type="character" w:customStyle="1" w:styleId="17">
    <w:name w:val="批注文字 Char"/>
    <w:basedOn w:val="9"/>
    <w:link w:val="2"/>
    <w:autoRedefine/>
    <w:qFormat/>
    <w:uiPriority w:val="99"/>
  </w:style>
  <w:style w:type="character" w:customStyle="1" w:styleId="18">
    <w:name w:val="批注主题 Char"/>
    <w:basedOn w:val="17"/>
    <w:link w:val="6"/>
    <w:autoRedefine/>
    <w:semiHidden/>
    <w:qFormat/>
    <w:uiPriority w:val="99"/>
    <w:rPr>
      <w:b/>
      <w:bCs/>
    </w:rPr>
  </w:style>
  <w:style w:type="character" w:customStyle="1" w:styleId="19">
    <w:name w:val="批注框文本 Char"/>
    <w:basedOn w:val="9"/>
    <w:link w:val="3"/>
    <w:autoRedefine/>
    <w:semiHidden/>
    <w:qFormat/>
    <w:uiPriority w:val="99"/>
    <w:rPr>
      <w:sz w:val="18"/>
      <w:szCs w:val="18"/>
    </w:rPr>
  </w:style>
  <w:style w:type="character" w:customStyle="1" w:styleId="20">
    <w:name w:val="页眉 Char"/>
    <w:basedOn w:val="9"/>
    <w:link w:val="5"/>
    <w:autoRedefine/>
    <w:qFormat/>
    <w:uiPriority w:val="99"/>
    <w:rPr>
      <w:sz w:val="18"/>
      <w:szCs w:val="18"/>
    </w:rPr>
  </w:style>
  <w:style w:type="character" w:customStyle="1" w:styleId="21">
    <w:name w:val="页脚 Char"/>
    <w:basedOn w:val="9"/>
    <w:link w:val="4"/>
    <w:uiPriority w:val="99"/>
    <w:rPr>
      <w:sz w:val="18"/>
      <w:szCs w:val="18"/>
    </w:rPr>
  </w:style>
  <w:style w:type="paragraph" w:customStyle="1" w:styleId="22">
    <w:name w:val="Paragraph"/>
    <w:basedOn w:val="1"/>
    <w:qFormat/>
    <w:uiPriority w:val="0"/>
    <w:pPr>
      <w:widowControl/>
      <w:spacing w:before="120"/>
      <w:ind w:firstLine="720"/>
      <w:jc w:val="left"/>
    </w:pPr>
    <w:rPr>
      <w:rFonts w:ascii="Times New Roman" w:hAnsi="Times New Roman" w:eastAsia="Times New Roman" w:cs="Times New Roman"/>
      <w:kern w:val="0"/>
      <w:sz w:val="24"/>
      <w:szCs w:val="24"/>
      <w:lang w:eastAsia="en-US"/>
    </w:rPr>
  </w:style>
  <w:style w:type="character" w:customStyle="1" w:styleId="23">
    <w:name w:val="content-right_8zs40"/>
    <w:basedOn w:val="9"/>
    <w:uiPriority w:val="0"/>
  </w:style>
  <w:style w:type="table" w:customStyle="1" w:styleId="24">
    <w:name w:val="无格式表格 21"/>
    <w:basedOn w:val="7"/>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CFF5-7F04-4713-9605-19E0DA7A6AC8}">
  <ds:schemaRefs/>
</ds:datastoreItem>
</file>

<file path=docProps/app.xml><?xml version="1.0" encoding="utf-8"?>
<Properties xmlns="http://schemas.openxmlformats.org/officeDocument/2006/extended-properties" xmlns:vt="http://schemas.openxmlformats.org/officeDocument/2006/docPropsVTypes">
  <Template>Normal</Template>
  <Pages>4</Pages>
  <Words>828</Words>
  <Characters>4724</Characters>
  <Lines>39</Lines>
  <Paragraphs>11</Paragraphs>
  <TotalTime>2</TotalTime>
  <ScaleCrop>false</ScaleCrop>
  <LinksUpToDate>false</LinksUpToDate>
  <CharactersWithSpaces>5541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2023-11-03T02:59:00Z</dcterms:created>
  <dc:creator>aihua zh</dc:creator>
  <cp:lastModifiedBy>Jerry</cp:lastModifiedBy>
  <dcterms:modified xsi:type="dcterms:W3CDTF">2024-02-21T03:51:27Z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2023-08-24T05:13:48Z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a6d2b0f7-98a6-4f82-b53e-68e6e8152256</vt:lpwstr>
  </property>
  <property fmtid="{D5CDD505-2E9C-101B-9397-08002B2CF9AE}" pid="8" name="MSIP_Label_549ac42a-3eb4-4074-b885-aea26bd6241e_ContentBits">
    <vt:lpwstr>0</vt:lpwstr>
  </property>
  <property fmtid="{D5CDD505-2E9C-101B-9397-08002B2CF9AE}" pid="9" name="KSOProductBuildVer">
    <vt:lpwstr>2052-12.1.0.16388</vt:lpwstr>
  </property>
  <property fmtid="{D5CDD505-2E9C-101B-9397-08002B2CF9AE}" pid="10" name="ICV">
    <vt:lpwstr>7917AD4A274B4EC890E5D48E5E599FE2_13</vt:lpwstr>
  </property>
</Properties>
</file>